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09.03.2021, оставленным без изменения постановлением Тринадцатого арбитражного апелляционного суда от 31.05.2021 и постановлением Арбитражного суда Северо-Западного округа от 29.09.2021, исковое требование удовлетворено. 2 В кассационной жалобе, поданной в Верховный Суд Российской Федерации, министерство,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администрацией и обществом 01.01.2009 заключен договор № 01/09 на перевозку пассажиров транспортом общего пользования (троллейбус) на городских регулярных маршрутах по установленным Правительством Мурманской области тарифам на перевозку пассажиров и багажа автомобильным и электрическим транспортом общего пользования с предоставлением права льготного проезда отдельным категориям граждан в соответствии с действующим законодательством. На основании договоров и муниципальных контрактов, заключенных с администрацией и с комитетом по развитию городского хозяйства, общество осуществляло перевозку пассажиров и багажа по городским регулярным троллейбусным и автобусным маршрутам согласно утвержденным паспортам, схемам маршрутов и расписанию. Общество (получатель) и Министерство транспорта (главный распорядитель средств областного бюджета) 13.01.2020 заключили договор № 1-эт о предоставлении из областного бюджета в 2020 году субсидии в целях возмещения недополученных доходов получателя в связи с предоставлением отдельным категориям граждан права льготного проезда по единому социальному проездному билету на территории Мурманской области. Согласно условиям договора субсидия предоставляется в соответствии с Порядком предоставления субсидии на возмещение недополученных доходов перевозчикам в связи с предоставлением права льготного проезда отдельным категориям граждан по единому социальному проездному билету на территории Мурманской области при представлении получателем главному распорядителю средств областного бюджета документов, подтверждающих соответствие получателя требованиям, установленным Порядком предоставления субсидии, определенным в приложении № 1 к договору, и документов, подтверждающих факт произведенных получателем недополученных доходов, на возмещение которых предоставляется субсидия. 3 Общество письмами от 08.05.2020, 04.06.2020, 07.07.2020, 06.08.2020, 07.09.2020, 07.10.2020 направило документы на предоставление субсидии за апрель-сентябрь 2020 года, согласно которым объем недополученных доходов составил 15 691 970 рублей 47 копеек. Платежными поручениями от 10.06.2020 № 334771, от 14.07.2021 № 651708, от 12.08.2020 № 58296, от 15.09.2020 № 402667, от 14.10.2020 № 750399 Комитет по развитию городского хозяйства перечислил обществу 11 499 493 рубля. Недополученная сумма за спорный период составила 4 192 477 рублей 47 копеек. Ссылаясь на то, что за счет средств бюджета Мурманской области недополученные доходы полностью не компенсированы, а соответствующая претензия оставлена министерством транспорта без удовлетворения, общество обратилось в арбитражный суд. Рассматривая спор, суд первой инстанции, исследовав и оценив представленные в материалы дела доказательства, руководствуясь положениями Бюджетного кодекса Российской Федерации,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Закона Мурманской области от 26.10.2007 № 901-01-ЗМО «О предоставлении льготного проезда на автомобильном транспорте и городском наземном электрическом транспорте общего пользования обучающимся на территории Мурманской области», Правилами расходования средств, предоставляемых бюджетам муниципальных районов (городских округов) в виде субвенций из областного бюджета на финансирование льготного проезда на городском электрическом и автомобильном транспорте общего пользования (кроме такси) городского и пригородного сообщения в границах муниципального образования обучающихся очной формы обучения общеобразовательных организаций, профессиональных образовательных организаций, образовательных организаций высшего образования, утвержденными постановлением Правительства Мурманской области от 02.06.2010 № 261-ПП, пришли к выводу о наличии оснований для удовлетворения исковых требований, с чем согласились суды апелляционной инстанции и округа. Судебные инстанции исходили из доказанности обществом размера недополученных доходов, отметив, что обязанность по их возмещению лежит на ответчике. Доводы министерства,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4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транспорта и дорожного хозяйства Мурманской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