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об отсрочке уплаты государственной пошлины, мотивированное отсутствием у него денежных средств, необходимых для уплаты пошлины в установленном размере.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В соответствии с пунктом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2 а также отсрочить (рассрочить) ее уплату в порядке, предусмотренном статьей 333.41 данного Кодекса.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 ходатайство подлежит удовлетворению. Руководствуясь статьями 102, 184, 185 Арбитражного процессуального кодекса Российской Федерации, статьями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«Три кота» удовлетворить. Предоставить обществу с ограниченной ответственностью «Три кота» отсрочку уплаты государственной пошлины сроком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