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19.02.2021, оставленным без изменения постановлением Девятого арбитражного апелляционного суда от 01.06.2021, исковые требования оставлены без удовлетворения, встречный иск удовлетворен в части взыскания с общества в пользу учреждения неустойки в сумме 59 606 рублей 33 копеек. В удовлетворении остальной части встречного иска отказано. Постановлением Арбитражного суда Московского округа от 21.09.2021 судебные акты оставлены в силе. Общество в кассационной жалобе просит отменить принятые по делу судебные акты, ссылаясь на нарушение судами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и принятые по делу судебные акты,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Руководствуясь положениями статей 307, 309, 310, 330, 333, 753, 779, 781 Гражданского кодекса Российской Федерации, статьи 95 Федерального закона от 05.04.2013 №44-ФЗ «О контрактной системе в сфере закупок товаров, работ, 3 услуг для обеспечения государственных и муниципальных нужд», суды отказали в удовлетворении иска и удовлетворили встречный иск частично, исходя из обоснованности одностороннего отказа заказчика от исполнения контракта в связи с ненадлежащим исполнением обществом обязательств по контракту и наличия оснований для начисления неустойки. Приведенные в жалобе доводы не свидетельствуют о наличии оснований для отмены обжалуемых судебных актов, поскольку фактически сводятся к несогласию с выводами судов по обстоятельствам дела, свидетельствующим о ненадлежащем исполнении условий контракта связанных с выполнением работ. Доводов, подтверждающих существенные нарушения норм материального и процессуального права, которые могли повлиять на исход дела и являться достаточным основанием для пересмотра обжалуемых судебных актов в кассационном порядке, заявителем не приведено.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