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13.01.2022 (согласно штампу на почтовом конверте) направила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предприниматель ссылается на несвоевременное получение копий обжалуемых судебных актов.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2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предприниматель являлась инициатором спора и обращения с кассационной жалобой в суд округа, знала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предприниматель имела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предприниматель имела возможность своевременно обратиться в Верховный Суд Российской 3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Бурдиной Екатерины Владимировны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