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Перегудов И.В. 17.01.2022 подает кассационную жалобу на судебные акты по делу № А40-149605/2017 с ходатайством о восстановлении срока на обжалование. Срок заявитель просит восстановить в связи с ознакомлением 29.12.2021 с позицией Верховного Суда Российской Федерации по спору с аналогичными обстоятельствами, противоположной занятой судами в настоящем споре. В силу частей 1, 2 статьи 291.2 Арбитражного процессуального кодекса Российской Федерации (далее – Кодекс) двухмесячный срок подачи кассационной жалобы исчисляется со дня вступления в силу последнего обжалуемого судебного акта и может быть восстановлен при пропуске по причинам, не зависящим от лица, обратившегося с такой жалобой. Обозначенное заявителем обстоятельство не создает основания для восстановления срока. В связи с подачей документов в электронном виде кассационная жалоба и уплаченная за ее подачу государственная пошлина настоящим определением не возвращаются. 2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Перегудову И.В. в восстановлении срока подачи кассационной жалобы на определение Арбитражного суда города Москвы от 10.02.2021, постановление Девятого арбитражного апелляционного суда от 22.04.2021 и постановление Арбитражного суда Московского округа от 16.07.2021 по делу № А40-149605/2017.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