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10.03.2021, оставленным без изменения постановлениями Первого арбитражного апелляционного суда от 23.06.2021 и Арбитражного суда Волго-Вятского округа от 28.09.2021,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2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(поставщик) заключен контракт на поставку комплексных маршрутных указателей (КМУ) с монтажом и наладкой. Заказчик, ссылаясь на неисполнение обществом обязательств по контракту, принял решение об одностороннем отказе от контракта. Полагая, что односторонний отказ учреждения от контракта является незаконным,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статей 309, 310, 450, 526, 523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14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пришли к выводу об отсутствии оснований для удовлетворения иска. Судебные инстанции исходили из существенного нарушения обществом условий контракта. При исследовании обстоятельств дела установлено отсутствие доказательств надлежащего исполнения условий контракта со стороны поставщика, а именно доказательств разработки в установленный срок рабочих чертежей по монтажу комплексных маршрутных указателей (КМУ) и направления данных рабочих чертежей на согласование заказчику; доказательств поставки товара. Ссылка общества на нерассмотрение судами всех доводов заявителя подлежит отклонению, поскольку не свидетельствует об отсутствии их надлежащей судебной проверки и оценки. 3 Несогласие заявителя с выводами судов, иная оценка им фактических обстоятельств дела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«Медиа 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