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12.04.2021, оставленным без изменения постановлениями Одиннадцатого арбитражного апелляционного суда от 22.07.2021 и Арбитражного суда Поволжского округа от 05.10.2021, в удовлетворении заявления отказано. 2 В кассационной жалобе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налоговой проверки представленной обществом налоговой декларации по единому налогу, уплачиваемому в связи с применением УСН за 2018 год, инспекцией вынесено оспариваемое решение, которым общество привлечено к ответственности по пункту 1 статьи 122 Налогового кодекса Российской Федерации (далее – Налоговый кодекс) в виде штрафа в размере 1500 рублей и по пункту 1 статьи 119 Налогового кодекса в виде штрафа в размере 500 рублей, налогоплательщику доначислен налог, взимаемый с налогоплательщиков, выбравших в качестве объекта налогообложения доходы, уменьшенные на величину расходов, в размере 430 184 рублей и пени в размере 124 590 рублей 98 копеек. Основанием для принятия решения послужил вывод налогового органа о занижении налогоплательщиком налогооблагаемой базы, и соответственно, об исчислении и уплате налога не в полном объеме. Решением управления от 14.09.2020 № 03-15/29760@ вынесенным по результатам рассмотрения жалобы общества, решение инспекции в части штрафа по пункту 1 статьи 122 Налогового кодекса в размере 750 рублей отменено. В остальной части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221, 252, 270, 346.11, 346.14 - 346.17 Налогового кодекса, Федерального закона от 06.12.2011 № 402-ФЗ «О бухгалтерском учете», суды пришли к выводу об отсутствии оснований для удовлетворения заявления общества. Судебные инстанции исходили из отсутствия документального подтверждения заявленных налогоплательщиком расходов и занижения 3 обществом суммы исчисленного единого налога, уплачиваемого в связи с применением УСН. При исследовании обстоятельств дела установлено необоснованное принятие обществом в качестве расходов спорных затрат (возврат заемных денежных средств, перевод между счетами налогоплательщика, убыток прошлых лет, денежные средства, перечисленные контрагентам, которые не подтвердили договорные отношения с обществом, перечисление денежных средств по операциям, плательщиком которых выступает иное лицо, сумма расходов на возмещение командировочных затрат и оплату труда). При указанных обстоятельствах доводы налогоплательщика относительно выводов судов не свидетельствуют о неправильном применении ими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дела. Ссылка общества на нерассмотрение судами всех доводов заявителя подлежит отклонению, поскольку не свидетельствует об отсутствии их надлежащей судебной проверки и оценки.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«КБ Бристоль»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