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26.02.2021, оставленным без изменения постановлением Девятого арбитражного апелляционного суда от 19.05.2021 и постановлением Арбитражного суда Московского округа от 20.09.2021, исковое заявление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ФСБ России (заказчик) и обществом (исполнитель) заключен государственный контракт от 13.07.2016 № 13/К-831-16, по условиям которого исполнитель выполнял работы по корректировке документации и по строительству и передаче пограничного сторожевого катера проекта 1496М стоимостью 469 695 884 рубля. Указанные работы по условиям контракта должны были быть выполнены в срок до 31.10.2017. Обязательства по корректировке документации технического проекта и рабочей конструкторской документации выполнены исполнителем 13.12.2019, в связи с чем истцом была начислена неустойка на основании п. 9.3 контракта в размере 25 341 720 рублей 19 копеек. Направленная обществу претензия не исполнена, в связи с чем ФСБ России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 (далее - Гражданского кодекса),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заявленного искового требования, с чем согласился суд округа. Судебные инстанции исходили из доказанности обстоятельств неисполнения обществом взятых на себя обязательств, расчет неустойки проверен и признан верным. 3 Доводы, изложенные в кассационной жалобе, в том числе о необходимости применения положений статьи 333 Гражданского кодекса,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«Судостроительный завод «Вымпел»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