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«АМИЛ» обратилось в Арбитражный суд города Москвы с иском о взыскании с общества с ограниченной ответственностью «Стройтрансгаз Трубопроводстрой» 4 460 011 рублей 90 копеек задолженности по договору от 12.07.2018 № 12-07/СТГ-ТПС-ПРП на оказание комплекса логистических услуг.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«ГСП» и общество с ограниченной ответственностью «Транс-Групп». Решением Арбитражного суда города Москвы от 24.02.2021 в удовлетворении иска отказано. Постановлением Девятого арбитражного апелляционного суда от 07.06.2021 решение суда первой инстанции оставлено без изменения. Арбитражный суд Московского округа постановлением от 17.09.2021 указанные судебные акты оставил без изменения. 2 Общество с ограниченной ответственностью «АМИЛ»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64, 65, 71 Арбитражного процессуального кодекса Российской Федерации, установив, что стоимость услуг была согласована сторонами в приложении к договору, в перечень услуг не входили работы по обустройству площадки временного хранения, истец выразил согласие на заключение договора на данных условиях, ответчик факт согласования необходимости проведения спорных работ и подписания спорного дополнительного соглашения отрицает, учитывая выводы эксперта по результатам судебной экспертизы наряду с иными доказательствами по делу, а также вступивший в законную силу судебный акт по делу № А40-181098/2019 Арбитражного суда города Москвы о взыскании в пользу ответчика неотработанного аванса, руководствуясь положениями статей 309, 310, 421, 431, 432 Гражданского кодекса Российской Федерации, суды пришли к выводу о незаключенности дополнительного соглашения к договору и отсутствии оснований для удовлетворения иска. Довод жалобы о необоснованном отказе в назначении дополнительной или повторной судебной экспертизы подлежит отклонению, поскольку в рассматриваемом случае отказ в назначении повторной экспертизы обоснованно мотивирован отсутствием предусмотренных частью 2 статьи 87 Арбитражного процессуального кодекса Российской Федерации оснований.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произведенной 3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«АМИЛ»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