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16.03.2021, оставленным без изменения постановлением Тринадцатого арбитражного апелляционного суда от 16.06.2021, взыскано 3 000 000 рублей штрафа. Арбитражный суд Северо-Западного округа постановлением от 16.09.2021 решение от 16.03.2021 и постановление Тринадцатого арбитражного апелляционного суда от 16.06.2021 оставил без изменения. В кассационной жалобе общество «Евросиб-Логистика» просит об отмене судебных актов, ссылаясь на определение массы перевозимого груза без учета Рекомендаций МИ 3115-2008 «Государственная система обеспечения единства измерений. Изменения и учет массы груза при взаиморасчетах между грузоотправителем и грузополучателем», утвержденных 2 ФГУП «ВНИИМС» 30.05.2008 (далее – Рекомендации), неприменение последствий недобросовестности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использовал Рекомендации при расчете провозной платы и определении суммы штрафов. Документы, подтверждающие исправность весов, посредством которых определена масса груза, и расчет обнаруженного излишка, исследованы судами, признаны достоверными и не опровергнутыми ответчиком. Доводы заявителя противоречат установленным обстоятельствам перевозки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«Евросиб-Логистика»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