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«Велдинг» обратилось в Арбитражный суд Воронежской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Панявина Валерия Михайловича стоимости переданных прав по соглашениям о передаче прав по договорам лизинга в размере 20 774 400 рублей.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«Лизинговая компания «СТОУН-XXI». Решением Арбитражного суда Воронежской области от 22.01.2021 в удовлетворении иска отказано. Постановлением Девятнадцатого арбитражного апелляционного суда от 14.07.2021 решение суда первой инстанции отменено и иск удовлетворен. 2 Арбитражный суд Центрального округа постановлением от 18.11.2021 постановление суда апелляционной инстанции оставил без изменения. Панявин Валерий Михайлович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Поскольку решение Арбитражного суда Воронежской области от 22.01.2021 отменено постановлением суда апелляционной инстанции, жалоба в указанной части беспредметна и не подлежит рассмотрению. Кассационная жалоба на судебные акты суда апелляционной инстанции и окружного суда подана в порядке, предусмотренном статьями 291.1 – 291.3 Арбитражного процессуального кодекса Российской Федерации, и подлежит рассмотрению в порядке кассационного производства в соответствии со статьями 291.1 – 291.15 Арбитражного процессуального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действительная выкупная цена предмета лизинга вошла в состав периодических лизинговых платежей и оплачена первоначальным лизингополучателем (истцом), условия соглашений о передаче прав по спорным договорам лизинга свидетельствуют об их возмездности, соглашение о размере встречного предоставления за уступленные права по договорам лизинга сторонами не заключено, определив по результатам судебной экспертизы рыночную стоимость полученного права, руководствуясь положениями статей 382, 423, 424, 624, 665 Гражданского кодекса Российской Федерации, статьей 19 Федерального закона от 29.10.1998 № 164-ФЗ «О финансовой аренде (лизинге)»,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3 лизинга», апелляционный суд пришел к выводу о наличии оснований для удовлетворения заявленного требования.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Панявину Валерию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