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12.04.2021 исковые требования удовлетворены. Постановление Тринадцатого арбитражного апелляционного суда от 30.06.2021 решение суда первой инстанции отменено, в удовлетворении исковых требований отказано. Постановлением Арбитражного суда Северо-Западного округа от 27.10.2021 постановление суда апелляционной инстанции оставлено без изменения. В кассационной жалобе, поданной в Верховный Суд Российской Федерации, фирма, ссылаясь на нарушение судами апелляционной инстанции и округа норм материального и процессуального права, несоответствие их выводов фактическим обстоятельствам дела, просит отменить их постановления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Отменяя решение суда первой инстанции и отказывая в удовлетворении исковых требований,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которым не подтверждено наличие заводских (производственных), а также неустранимых дефектов поставленного ответчиком товара, принимая во внимание разнородный характер выявленных недостатков, а также отсутствие доказательств невозможности их устранения либо несоразмерности расходов и затрат времени на их устранение, руководствуясь статьями 454, 475, 476 Гражданского кодекса Российской Федерации, пришел к выводу о недоказанности факта поставки истцу товара с существенными нарушениями требований к качеству. Суд округа поддержал выводы апелляционного суда.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«Фирма «Акант-Сервис»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