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«Крокус Интернешнл» обратилось в Арбитражный суд города Москвы с иском о взыскании с общества с ограниченной ответственностью «Партнер-Строй» 3 503 266 рублей убытков.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«ССТ», страховое акционерное общество «РЕСО-ГАРАНТИЯ», страховое акционерное общество «ВСК», Закариев Магомед Ахмедович, Ахмедов Руслан Рахимович. Решением Арбитражного суда города Москвы от 27.04.2021 иск удовлетворен в части взыскания 963 571 рубля, в удовлетворении иска в остальной части отказано. Постановлением Девятого арбитражного апелляционного суда от 09.08.2021 решение суда первой инстанции оставлено без изменения. Арбитражный суд Московского округа постановлением от 27.10.2021 указанные судебные акты оставил без изменения. 2 Общество с ограниченной ответственностью «Партнер-Строй»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признав доказанным факт несения убытков в сумме 963 571 рубля, а также наличие причинно-следственной связи между действиями ответчика и наступившими для истца негативными последствиями, руководствуясь положениями статей 15, 1064, 1082 Гражданского кодекса Российской Федерации, суды пришли к выводу об обоснованности заявленного требования в указанной части. Отказывая в удовлетворении иска в остальной части, суды, установив отсутствие доказательств произошедшего иного дорожно-транспортного происшествия по вине работника ответчика, пришли к выводу о недоказанности истцом наличия совокупности обстоятельств, необходимых для привлечения ответчика к гражданско-правовой ответственности в виде возмещения убытков. Доводы жалобы были предметом рассмотрения судов, их выводы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«Партнер-Строй»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