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(далее – реестр) требования в размере 8 316 069 рублей 18 копеек. Определением Арбитражного суда Новосибирской области от 31.03.2021, оставленным без изменения постановлением Седьмого арбитражного апелляционного суда от 17.06.2021, заявление удовлетворено. Постановлением Арбитражного суда Западно-Сибирского округа от 22.09.2021 принятые по спору судебные акты изменены, требование предпринимателя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принятые по делу судебные акты, суд округа, руководствуясь статьями 71, 142, 148 Федерального закона от 26.10.2002 № 127-ФЗ «О несостоятельности (банкротстве)», пунктами 3.1, 3.2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 из того, что спорное требование направлено на возврат компенсационного финансирования, ранее предоставленного контролирующим должника лицом в ситуации имущественного кризиса и не востребованного им в разумный срок, в связи с чем понизил его в очерёдности удовлетворения.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Звереву Руслану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