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требования в размере 20 322 612 рублей 56 копеек основного долга и 424 295 рублей 95 копеек процентов за пользование чужими денежными средствами. Определением Арбитражного суда Московской области от 17.03.2021, оставленным без изменения постановлением Десятого арбитражного апелляционного суда от 16.06.2021, заявление удовлетворено. Постановлением Арбитражного суда Московского округа от 18.10.2021 данные судебные акты отменены, обособленный спор направлен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частью 1 статьи 29 Федерального закона от 07.07.2003 № 126-ФЗ «О связи», статьями 3, 20, 29 Федерального закона от 04.05.2011 № 99-ФЗ «О лицензировании отдельных видов деятельности», пунктом 20 Обзора судебной практики Верховного Суда Российской Федерации № 5 (2017), утверждённого Президиумом Верховного Суда Российской Федерации 27.12.2017, исходил из того, что обстоятельства, имеющие существенное значение для его правильного разрешения, судами не устанавливались и не исследовались.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«КВТ-Информсервис»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