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Зенина Юрия Владимировича в Арбитражный суд Московской области обратился Шаров Андрей Александрович с заявлением о включении в реестр требований кредиторов должника задолженности в размере 117 762 888 рублей основного долга и 19 454 580 рублей 72 копеек процентов. Определением Арбитражного суда Московской области от 22.03.2021 в удовлетворении заявления отказано. Постановлением Десятого арбитражного апелляционного суда от 04.06.2021 определение суда первой инстанции оставлено без изменения. Арбитражный суд Московского округа постановлением от 21.09.2021 указанные судебные акты оставил без изменения. Шаров Андрей Александрович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статей 71, 100, 142 Федерального закона от 26.10.2002 № 127-ФЗ «О несостоятельности (банкротстве)», пунктом 26 постановления Пленума Высшего Арбитражного Суда Российской Федерации от 22.06.2012 №35 «О некоторых процессуальных вопросах, связанных с рассмотрением дел о банкротстве» и пришли к выводу о непредставлении достаточных доказательств наличия и размера задолженности, экономической целесообразности заключения договора займа и реальности заемных отношений с должником.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Шарову Андрею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