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14.04.2021, оставленным без изменения постановлением Второго арбитражного апелляционного суда от 29.07.2021 и постановлением Арбитражного суда Волго-Вятского округа от 27.10.2021, заявление удовлетворено частично. В кассационной жалобе Кондратьев А.К. просит об отмене судебных актов, ссылаясь на ошибочность выводов судов в отношении финансовой состоятельности кредитора, экспертного заключения и неоспаривания должником обстоятельств заключения договора займа.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предоставления денежных средств и признали их отвечающим критериям статей 71, 100 Федерального закона от 26.10.2002 № 127-ФЗ «О несостоятельности (банкротстве)» и пункту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включения требования в реестр. Реальная возможность кредитора предоставить заем, подписание договора займа должником установлены судами на основании доказательств, компетентно признанных надлежащими.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Кондратьеву Александру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