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22.03.2021, оставленным без изменения постановлением Семнадцатого арбитражного апелляционного суда от 17.06.2021 и постановлением Арбитражного суда Уральского округа от 15.09.2021, процедура реализации имущества должника завершена, в отношении Карпунина Г.В. применено правило об освобождении от обязательств, за исключением обязательств перед публичным акционерным обществом «Уралтрансбанк» (далее – банк) в сумме 95 000 000 рублей. В кассационной жалобе Карпунин Г.В. просит об отмене судебных актов, ссылаясь на расширительное толкование оснований неосвобождения должника от исполнения обязательств и применение недействующего в период совершения преступления закона.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требование банка в процедуре банкротства должника основаны на приговоре суда, поэтому в силу пункта 4 статьи 213.28 Федерального закона от 26.10.2002 № 127-ФЗ «О несостоятельности (банкротстве)» не освободили должника от его исполнения. Довод об исчерпывающем перечне оснований для неосвобождения должника от исполнения обязательств не основан на примененной норме. Процедура банкротства, в которой рассмотрено требование банка, подчиняется закону, действующему в период ведения дела о банкротстве.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Карпунину Григорию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