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24.03.2021 признано право собственности общества с ограниченной ответственностью «Элемент Лизинг» на экскаватор Hitachi ZX 330-5G (VIN HCRDDEC0A00000647), производство по делу в отношении общества «Кварта-Трейд» и общества «Грейн-С» прекращено в связи с отказом истца от иска к ним. 2 Шестнадцатый арбитражный апелляционный суд постановлением от 17.06.2021 и Арбитражный суд Северо-Кавкзского округа постановлением от 28.09.2021 оставили решение от 24.03.2021 без изменения. В кассационной жалобе акционерное общество «Сбербанк Лизинг» просит об отмене судебных актов, ссылаясь на незаконное одновременное изменение предмета и основания иска, исследование неотносимых к спору обстоятельств, игнорирование добросовестности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одновременном изменении предмета и основания иска неоснователен, поскольку предмет иска – индивидуально определенное имущество (экскаватор) остался неизменным. Суды правомерно исходили из того, что право собственности у приобретателя по договору возникает с момента передачи вещи (пункт 1 статьи 223 Гражданского кодекса Российской Федерации) и признали такое право за истцом, которому во исполнение договора купли-продажи экскаватор передан раньше. Другие доводы жалобы связаны с обстоятельствами, не имеющими отношения к спору.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«Сбербанк 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