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Тульской области от 06.04.2021, оставленным без изменения постановлением Двадцатого арбитражного апелляционного суда от 17.08.2021 и постановлением Арбитражного суда Центрального округа от 19.10.2021, в удовлетворении заявления отказано. В кассационной жалобе Дьяков В.С. просит об отмене судебных актов, ссылаясь на то, что настаивал на отстранении управляющего от исполнения обязанностей в связи с допущенными в процедурах банкротства нарушениями, являющимися предметом самостоятельного заявления, неосновательно не объединенного с рассматриваемым.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к моменту рассмотрения спора финансовый управляющий являлся членом другой саморегулируемой организации арбитражных управляющих и кредиторы не инициировали смены ни управляющего, ни организации, из членов которой управляющий выбирается. Претензии должника к деятельности управляющего не подтверждены судебным актом, учитывая нахождение в производстве суда заявления должника об оспаривании действий управляющего, поэтому правомерно не приняты при рассмотрении данного заявления. Судебные акты соответствуют судебной практике рассмотрения споров, связанных с отстранением управляющего от исполнения обязанностей в делах о банкротстве.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Дьякову В.С.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