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02.04.2021, оставленным без изменения постановлением Девятого арбитражного апелляционного суда от 22.06.2021 и постановлением Арбитражного суда Московского округа от 01.11.2021, заявление удовлетворено. 2 В кассационной жалобе, поданной в Верховный Суд Российской Федерации, ООО «Паритет»,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рамках дела о банкротстве ООО «ТДН» провело торги по продаже имущества должника. Согласно сообщению № 4069184 16.08.2019 ООО «ГК «Кварта» (организатор торгов) объявлены торги в форме публичного предложения. В период с 19.08.2019 по 31.08.2019 заявок от участников торгов не поступило, торги признаны несостоявшимися. В период торгов, установленный с 31.08.2019 по 03.09.2019, подано две заявки на участие в торгах; торги признаны состоявшимися. Решением управления по делу № 077/07/00-9709/2019 жалоба Корнилова С.Ю. признана обоснованной, организатору торгов выдано предписание, в рамках исполнения которого ООО «ГК «Кварта» опубликовало сообщение от 07.12.2020 о проведении торгов. Торги посредством публичного предложения повторно проведены с пятого этапа. Согласно протоколу от 15.12.2020 № 3695-ОТПП/2 победителем торгов по продаже имущества должника посредством публичного предложения признано ООО «Апекс». Не согласившись с итогами торгов, ООО «Паритет», Корнилов С.Ю., Талько О.П. обратились в управление с жалобами, по результатам рассмотрения принято решение о признании их частично обоснованными, действий организатора торгов нарушающими статью 36 Федерального закона от 26.07.2006 № 135-ФЗ «О защите конкуренции» (далее - Закон о защите конкуренции). Кроме того, ООО «ГК Кварта» вынесено предписание об устранении выявленного нарушения. Не согласившись с решением и предписанием антимонопольного органа, ООО «Апекс» обратилось в арбитражный суд. 3 Удовлетворяя заявление, суд первой инстанции, исследовав и оценив представленные в материалы дела доказательства, руководствуясь положениями Закона о контрактной системе, пришел к выводу о том, что оспоренные ненормативные правовые акты не соответствуют положениям действующего законодательства и нарушают права и законные интересы заявителя, с чем согласились суды апелляционной инстанции и округа. Судебные инстанции исходили из того, что в рассматриваемом случае организатор торгов, действуя добросовестно, провел их повторно с соблюдением требований действующего законодательства и с учетом ранее выданного предписания управления о порядке проведения повторных торгов, в котором не имелось указания о необходимости проведения таких торгов с первого этапа. Суды указали, что организатор торгов обращался в антимонопольный орган с заявлением о предоставлении разъяснений относительно исполнения спорного предписания, однако необходимые разъяснения по исполнению данного предписания управлением в разумный срок не были даны.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