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29.01.2021, оставленным без изменения постановлением Девятого арбитражного апелляционного суда от 29.04.2021, в удовлетворении иска отказано. Арбитражный суд Московского округа постановлением от 27.09.2021 решение от 29.01.2021 и постановление апелляционного суда от 29.04.2021 оставил без изменения. В кассационной жалобе акционерное общество «Российские железные дороги» просит об отмене судебных актов, ссылаясь на договорный характер оказываемой услуги, исключающей применение регулируемой цены на нее.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установив, что в отношении спорной услуги действует регулируемая цена, правомерно признали отсутствие у сторон правомочий на согласование в договоре от 14.10.2016 № 3/16-121 иной цены и отказали в иске, основанном на договорном условии о цене. Выводы судов соответствуют статье 424 Гражданского кодекса Российской Федерации, статье 39 Федерального закона от 10.01.2003 № 18-ФЗ «Устав железнодорожного транспорта Российской Федерации», приказу Федеральной службы по тарифам России от 29.04.2015 № 127-т/1 «Об утверждении платы за нахождение на железнодорожных путях общего пользования подвижного состава и правил ее применения (Тарифное руководство) и сложившейся судебной практике. Иная оценка характера услуги и установления цены на нее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«Российские железные дороги»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