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29.03.2021, оставленным без изменения постановлением Пятнадцатого арбитражного апелляционного суда от 17.06.2021 и постановлением Арбитражного суда Северо-Кавказского округа от 01.10.2021,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принять по делу новый судебный акт об отказе в удовлетворении исковых требований либо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условия спорного договора, а также заключения экспертов, установив, что поставленное обществом (продавец) предприятию (получатель) оборудование не соответствует условиям договора и сопроводительной технической документации, руководствуясь статьями 326, 469, 470, 475, 670 Гражданского кодекса Российской Федерации, суды первой и апелляционной инстанций пришли к выводу о наличии правовых оснований для соразмерного уменьшения цены товара, в связи с чем удовлетворили исковые требования. Суд округа поддержал выводы судов первой и апелляционной инстанций. Доводы кассационной жалобы, в том числе об отсутствии у предприятия права на предъявление иска,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«ШТИЛЛ Форклифттракс»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