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обратился в Судебную коллегию по экономическим спорам Верховного Суда Российской Федерации с указанной кассационной жалобой, одновременно заявив ходатайство о восстановлении пропущенного срока ее подачи. 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Частью 2 статьи 291.2 Арбитражного процессуального кодекса Российской Федерации установлено,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В соответствии с частью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предельно допустимый срок для его восстановления. Рассмотрев ходатайство о восстановлении процессуального срока, изучив приведенные заявителем причины пропуска процессуального срока, учитывая, что ходатайство заявлено в пределах шести месяцев со дня вступления в законную силу обжалуемого судебного акта, судья усматривает основания для удовлетворения ходатайства. Принимая во внимание изложенное и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восстановить обществу с ограниченной ответственностью Научно-производственное предприятие «НФЛ» срок подачи кассационной жалобы на постановление Арбитражного суда Центрального округа от 18.08.2021 по делу № А14-12683/2020.Судья Верховного Суда Российской Федерации Р.А. Хатыпова Суд: Верховный Суд РФ (подробнее) Истцы: ООО НПП "НФЛ" (подробнее) Ответчики: ООО "Скорость Света"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