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13.01.2022 № 307-ЭС20-5967 (2)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 изготовлении данного определения допущена опечатка в части неверного указания наименования заявителя кассационной жалобы – Карасева Романа Васильевича. В соответствии со статьей 184, частью 3 статьи 179 Арбитражного процессуального кодекса Российской Федерации эта опечатка подлежит исправлению. Руководствуясь статьями 179,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внести исправление в текст определения Верховного Суда Российской Федерации от 13.01.2022 № 307-ЭС20-5967 (2). Вместо «Карасев Роман Дмитриевич» читать «Карасев Роман Васильевич».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