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Садкова Татьяна Викторовна обратилась в Арбитражный суд города Москвы с иском, уточненным в порядке статьи 49 Арбитражного процессуального кодекса Российской Федерации (далее – АПК РФ), к Парамоновой Елене Николаевне о признании недействительным решения единственного участника об увеличении уставного капитала с аннулированием записи за государственным регистрационным номером 2207703236134 от 31.03.2020; признании за истцом права собственности на долю в обществе с ограниченной ответственностью «Медиа Про» (далее – Общество), определенную соразмерно оплаченной номинальной стоимости в размере 5000 рублей.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46 по г. Москве, 2 Львов Сергей Игоревич, Общество, Соловьев Сергей Сергеевич, Соловьев Сергей Федорович. Решением Арбитражного суда города Москвы от 06.04.2021, оставленным без изменения постановлением Девятого арбитражного апелляционного суда от 08.06.2021 и постановлением Арбитражного суда Московского округа от 20.09.2021,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Садковой Т.В.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Садковой Татьяны Викторовны. Срок подачи кассационной жалобы на решение Арбитражного суда города Москвы от 06.04.2021, постановление Девятого арбитражного апелляционного суда от 08.06.2021 и постановление Арбитражного суда Московского округа от 20.09.2021 по делу № А40-102410/2020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