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частям 1, 2, статьи 291.2 Арбитражного процессуального кодекса Российской Федерации (далее – АПК РФ)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Настоящая кассационная жалоба на вынесенные судебные акты направлена обществом в Верховный Суд Российской Федерации 23.12.2021, то есть с пропуском двухмесячного срока подачи жалобы. К жалобе приложено ходатайство о восстановлении пропущенного срока, в котором заявитель ссылается на пропуск срока из-за действий представителя.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Лица, участвующие в деле, несут риск наступления последствий совершения или не совершения ими процессуальных действий (часть 2 статьи 9 АПК РФ). Довод заявителя кассационной жалобы на действия своего представителя в обоснование ходатайства о восстановлении срока на подачу кассационной жалобы нельзя признать уважительными причинами. Учитывая изложенное и руководствуясь статьей 291.2, 291.5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в удовлетворении ходатайства общества с ограниченной ответственностью «Завод электротехнического оборудования «Энергосила»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