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12.03.2021, оставленным без изменения постановлениями Семнадцатого арбитражного апелляционного суда от 31.05.2021 и Арбитражного суда Уральского округа от 23.09.2021, в удовлетворении заявленных требований отказано. В жалобе администрация ставит вопрос об отмене принятых по делу судебных актов, ссылаясь на существенное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администрации, выразившиеся в принятии решения о возврате заявления общества о проведении аукциона на право заключения договора аренды земельного участка с кадастровым номером 66:58:0111005:2953, мотивированное неуказанием конкретного вида разрешенного использования земельного участка, определяющего цель использования такого участка, антимонопольным органом принято решение. Решением управления администрация признана нарушившей пункты 37, 65 Административного регламента по предоставлению муниципальной услуги «Предоставление земельных участков в собственность, аренду из состава земель, государственная собственность на которые не разграничена, и земель, находящихся в собственности муниципального образования, по результатам торгов», утвержденного постановлением Администрации городского округа Первоуральск от 16.07.2020 № 1386 (далее - Административный регламент). Предписанием управления на администрацию возложена обязанность принять меры по пересмотру заявления общества и принятию решения о проведении или об отказе в проведении аукциона на право заключения договора аренды земельного участка с кадастровым номером 66:58:0111005:2953. Не согласившись с ненормативными правовыми актами антимонопольного органа, администрация обратилась в арбитражный суд. Исследовав и оценив представленные в материалы дела доказательства, руководствуясь положениями статьи 39.11 Земельного кодекса, Федерального закона от 26.07.2006 № 135-ФЗ «О защите конкуренции», Административным регламентом, суды пришли к выводу об отсутствии оснований для удовлетворения заявленных требований. Судебные инстанции исходили из того, что заявление общества по форме и содержанию соответствовало установленным требованиям, в связи с чем у администрации не имелось оснований для его возврата. Доводы, изложенные в кассационной жалобе, основаны на неверном толковании норм права, не опровергают выводы судов, сделанные на основании правильного применения норм права к установленным обстоятельствам дела, не свидетельствуют о допущенной при рассмотрении 3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городского округа Первоуральск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