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Костромской области от 09.12.2020 иск удовлетворен. Второй арбитражный апелляционный суд постановлением от 25.05.2021 отменил решение от 09.12.2020 и отказал в удовлетворении иска. Арбитражный суд Волго-Вятского округа постановлением от 21.09.2021 постановление апелляционного суда от 25.05.2021 оставил без изменения. В кассационной жалобе учреждение просит об отмене судебных актов апелляционного и окружного судов, ссылаясь на процессуальные нарушения и недоказанность отсутствия факта причинения вреда.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дело, установил отсутствие доказательств принятия отправления к доставке, поэтому отказал в применении ответственности в соответствии со статьями 15, 393, 803 Гражданского кодекса Российской Федерации и статьями 6, 7 Федерального закона от 30.06.2003 № 87-ФЗ «О транспортно-экспедиционной деятельности». Окружной суд установил рассмотрение апелляционным судом дела в отсутствие учреждения, заявившего об участии в заседании посредством видеоконференц-связи и не воспользовавшееся ею, и с соблюдением правила о замене судьи, что опровергает доводы заявителя о процессуальных нарушениях. Требуемое изменение обстоятельств исполнения обязательств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автономному учреждению Костромской области «Центр охраны и условий труда»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