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04.05.2021, оставленным без изменения постановлением Пятого арбитражного апелляционного суда от 30.07.2021 и постановлением Арбитражного суда Дальневосточного округа от 14.10.2021, принят отказ общества от иска в части признания недействительным пункта 8.2 договора от 02.07.2019 № НРР-143/19, производство по делу в указанной части прекращено; с предприятия в пользу общества взыскано 33 557 823 руб. 96 коп. неосновательного обогащения, 10 480 514 руб. 62 коп. основного долга, 160 192 руб. 56 коп. неустойки, 119 280 руб. расходов на оплату услуг эксперта, в удовлетворении остальной части требований отказано. 2 В кассационной жалобе, поданной в Верховный Суд Российской Федерации, предприятие,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Приморского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общества (подрядчик) мотивированы ненадлежащим исполнением предприятием (заказчик) обязательств по оплате выполненных работ по договору от 02.07.2019 № НРР- 143/19 (далее – договор) и работ, выполненных сверх объемов и видов работ, предусмотренных названным договором, а также чрезмерным размером начисленной и удержанной им из суммы оплаты неустойки за просрочку выполнения работ. Разрешая спор и частично удовлетворяя исковые требования, суды первой и апелляционной инстанций руководствовались статьями 309, 310, 329, 330, 702, 709, 711, 740, 743, 746, 753, 1102 Гражданского кодекса Российской Федерации,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 этом,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учитывая самостоятельное направление предприятием заявок на проведение ремонта, признав доказанным факт согласования с последним спорных дополнительных работ в целях достижения предусмотренных договором результатов, а также факт выполнения данных работ обществом, суды пришли к выводу о наличии у предприятия обязанности по оплате работ в размере 10 480 514 руб. 62 коп. Установив, что общество выполнило основные работы по договору с просрочкой, в связи с чем предприятие удержало из платежа неустойку, признав неустойку несоразмерной последствиям нарушения обязательства и снизив ее размер по правилам статьи 333 Гражданского кодекса Российской Федерации, 3 суды пришли к выводу о необоснованном удержании предприятием денежных средств в размере 33 557 823 руб. 96 коп., составляющих сумму неосновательного обогащения. Исходя из подтвержденности факта несвоевременной оплаты предприятием выполненных работ, проверив представленный обществом расчет неустойки и признав его неверным, суды произвели перерасчет неустойки и удовлетворили соответствующее требование в размере 160 192 руб. 56 коп.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«Национальные рыбные 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