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14.05.2021, оставленным без изменения постановлением Одиннадцатого арбитражного апелляционного суда от 14.05.2021 и постановлением Арбитражного суда Поволжского округа от 26.10.2021, в удовлетворении заявления отказано. В кассационной жалобе Новокшонова С.Ю. просит об отмене судебных актов, ссылаясь на нарушение ее как бывшей супруги должника и сособственника отчужденной недвижимости прав и интересов вследствие неприменения статьи 250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спорное недвижимое имущество являлось совместной собственностью бывших супругов, а установленное статьей 250 Гражданского кодекса Российской Федерации правило о преимущественном праве покупки не применяется при купле-продаже не находящегося в долевой собственности имущества. Права и интересы заявительницы не нарушены, поскольку как бывшая супруга должника она имеет право на получение части средств от реализации этого недвижимого имущества в порядке, предусмотренном пунктом 7 статьей 213.26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Новокшоновой С.Ю.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