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01.02.2021, оставленным без изменения постановлением Первого арбитражного апелляционного суда от 23.04.2021 и постановлением Арбитражного суда Волго-Вятского округа от 15.09.2021, иск удовлетворен. В кассационной жалобе общество просит отменить судебные акты, ссылаясь на несоответствие выводов об объеме и качестве оказанных услуг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неоплату обществом оказанных предпринимателем услуг, суды удовлетворили иск. Данные выводы подтверждены исследованными судами доказательствами исполнения договора от 18.09.2019 № ЭП.01.03.2019.56 и соответствуют статьям 779, 781 Гражданского кодекса Российской Федерации. Доводы рассматриваемой кассационной жалобы повторяют доводы, заявленные судам, получили правовую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«ЭкоПтица»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