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05.03.2021, оставленным без изменения постановлением Семнадцатого арбитражного апелляционного суда от 26.05.2021 и постановлением Арбитражного суда Уральского округа от 30.09.2021, иск удовлетворен. В кассационной жалобе общество «Уренгойдорстрой» просит об отмене судебных актов, ссылаясь на неверный расчет штрафа.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договорный характер ответственности и нарушение ответчиком обязательства, за которые она применяется, поэтому удовлетворили иск в соответствии с договором от 20.01.2020 № 3 НЛКА и статьями 309, 310, 329, 330 Гражданского кодекса Российской Федерации. Оспаривание расчета штрафа на стадии кассационного производства не создает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