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Адыгея от 21.06.2021, оставленным без изменения постановлением Пятнадцатого арбитражного апелляционного суда от 11.08.2021 и постановлением Арбитражного суда Северо-Кавказского округа от 06.10.2021, в удовлетворении заявления отказано. В кассационной жалобе банк просит об отмене судебных актов, ссылаясь на нетождественность исключенного из конкурсной массы и являющегося предметом оспариваемой сделки жилого дома, отсутствие исполнительского иммунитета у полученных за дом денежных средств и доказательств возмездного характера купли-продажи.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оспариваемый договор заключен должником в отношении имущества, исключенного судебным актом из конкурсной массы должника, поэтому пришли к правильному выводу об отсутствии оснований для признания его ничтожной сделкой в силу абзаца 3 пункта 5 статьи 213.25 Федерального закона от 26.10.2002 № 127-ФЗ «О несостоятельности (банкротстве)». Вопрос об улучшении жилого дома за счет средств, отвлеченных из конкурсной массы, и возврате этих средств не составляет предмет данного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«Юг-Инвестбанк»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