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2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На основании изложенного, руководствуясь статьями 117, 184, 185, 291.2 АПК РФ,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«АСНА» о восстановлении пропущенного срока подачи кассационной жалобы на решение Арбитражного суда города Москвы от 16.02.2021 по делу № А40-119543/2020, постановление Девятого арбитражного апелляционного суда от 29.06.2021 и постановление Арбитражного суда Московского округа от 13.10.2021 по тому же делу удовлетворить, срок восстановить. Судья Верховного Суда Борисова Е.Е.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