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27.04.2021, оставленным без изменения постановлением Девятого арбитражного апелляционного суда от 15.07.2021, взыскано 7 338 160 рублей штрафа. Арбитражный суд Московского округа постановлением от 05.10.2021 решение от 27.04.2021 и постановление Девятого арбитражного апелляционного суда от 15.07.2021 оставил без изменения. В кассационных жалобах общество «Нефтехимическая транспортная компания» и общество «СИБУР Холдинг» просят об отмене судебных актов, ссылаясь на отсутствие договорных отношений по использованию вагонов.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является оператором железнодорожного подвижного состава и его права в отношении вагонов (цистерн), задержанных ответчиком сверх установленного времени под выгрузкой, не отличаются от прав перевозчика, в частности в отношении применения основанной на статьях 2, 62, 99, 100, 101 Федерального закона от 10.01.2003 № 17-ФЗ «О железнодорожном транспорте в Российской Федерации» ответственности за указанное нарушение. Иная оценка содержания правоотношений сторон противоречит судебной практике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«Нефтехимическая транспортная компания» и публичному акционерному обществу «СИБУР Холдинг»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