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20.02.2021, оставленным без изменения постановлением Тринадцатого арбитражного апелляционного суда от 23.06.2021 и постановлением Арбитражного суда Северо-Западного округа от 17.09.2021, в удовлетворении заявления отказано. В кассационной жалобе общество «АктивБизнесКонсалт» просит об отмене судебных актов, ссылаясь на неправильный отказ в иске по мотиву, не связанному с применением исковой давности, что легализовало незаконное бездействие финансового управляющего в вопросе оспаривания сделки и повлияло на возможность воздействия на него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изменения мотивации судебного акта в необходимых для заявителя целях не создает оснований для кассационного пересмотра судебного акта. Из постановления окружного суда следует, что арбитражный управляющий, которому заявитель вменяет совершение незаконных действий в связи с оспариванием сделки, дисквалифицирован в судебном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«АктивБизнесКонсалт»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