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подает кассационную жалобу на указанные судебные акты, одновременно ходатайствуя об отсрочке уплаты государственной пошлины за ее подачу. При этом ссылается на то, что имущественное положение не позволяет единовременно уплатить государственную пошлину, что подтверждается выпиской об открытых (закрытых) счетах в кредитных организациях, выданной ИФНС №22 по Московской области 12.05.2021, а также выпиской по счету с 01.07.2021 по 06.08.2021. В силу статьи 102 Арбитражного процессуального кодекса Российской 2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на момент подачи кассационной жалобы. При отсутствии таких документов в удовлетворении ходатайства должно быть отказано. Учитывая, что предпринимателем не представлены документы, подтверждающие отсутствие на момент подачи кассационной жалобы на банковском счете денежных средств в размере, необходимом для уплаты 3 государственной пошлины, оснований для удовлетворения ходатайства об отсрочке уплаты государственной пошлины не имеется. При изложенных обстоятельствах кассационная жалоба подлежит возвращению без рассмотрения по существу в соответствии с пунктом 1 части 1 статьи 291.5 АПК РФ. Руководствуясь статьями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Штерн Диане Борисовне в удовлетворении ходатайства об отсрочке уплаты государственной пошлины, кассационную жалобу возвратить.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