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«СТИ Снабжение» обратилось в Арбитражный суд города Москвы с иском о взыскании с общества с ограниченной ответственностью «СЛК «Цемент» 20 291 500 рублей убытков в связи со сверхнормативным нахождением вагонов на станции погрузки/выгрузки. Решением Арбитражного суда города Москвы от 22.04.2021 иск удовлетворен. Постановлением Девятого арбитражного апелляционного суда от 06.08.2021 решение суда первой инстанции в части взыскания 1 628 500 рублей отменено и в указанной части производство по делу прекращено в связи с отказом от иска и его принятия судом; в остальной части решение суда первой инстанции оставлено без изменения. Арбитражный суд Московского округа постановлением от 22.10.2021 указанные судебные акты оставил без изменения. 2 Общество с ограниченной ответственностью «СЛК «Цемент»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нарушение ответчиком нормативных сроков нахождения вагонов на станциях погрузки/выгрузки, что повлекло уплату истцом своему контрагенту соответствующих штрафов, руководствуясь положениями статей 15, 393 Гражданского кодекса Российской Федерации, суды сделали вывод о доказанности наличия совокупности обстоятельств, влекущих привлечение ответчика к ответственности в виде взыскания убытков.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«СЛК «Цемент»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