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24.02.2021, оставленным без изменения постановлением Семнадцатого арбитражного апелляционного суда от 24.05.2021 и постановлением Арбитражного суда Уральского округа от 08.10.2021, иск удовлетворен.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которые она применяется, поэтому удовлетворили иск в соответствии с договором от 26.01.2017 № 96НЛКА и статьями 309, 310, 329, 330 Гражданского кодекса Российской Федерации. Оспаривание расчета штрафа на стадии кассационного производства не создает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