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02.12.2020 исковые требования удовлетворены. Восемнадцатый арбитражный апелляционный суд постановлением от 11.05.2021 отменил решение от 02.12.2020 в части взыскания процентов за пользование чужими денежными средствами за период с 06.04.2020 по 06.10.2020, прекратив производство по делу в указанной части; резолютивную часть решения от 02.12.2020 изложил в следующей редакции: «Взыскать с общества «СТМ-Сервис» в пользу общества «Российские железные дороги» задолженность по договору на сервисное обслуживание локомотивов от 30.04.2014 № 284 в размере 18 713 756 рублей 02 копеек, проценты за 2 пользование чужими денежными средствами за период с 11.05.2017 по 02.12.2019 в сумме 3 096 784 рублей 74 копеек, производить начисление процентов за пользование чужими денежными средствами на сумму задолженности 18 713 756 рублей 02 копеек за период с 03.12.2019 по 05.04.2020 и с 07.10.2020 по день фактического исполнения денежного обязательства по ключевой ставке Центрального банка Российской Федерации, действовавшей в соответствующие периоды». Арбитражный суд Уральского округа постановлением от 28.09.2021 постановление Восемнадцатого арбитражного апелляционного суда от 11.05.2021 оставил без изменения. В кассационной жалобе общество «СТМ-Сервис» просит об отмене судебных актов, ссылаясь на несогласованность в период с 01.03.2017 по 31.08.2017 сторонами условия о компенсации потерь электроэнергии.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жалобы не усматривается. Суды, исследовав и оценив условия заключенных сторонами договора на сервисное обслуживание локомотивов от 30.04.2014 № 284 и агентского договора от 28.11.2014 № 214/ТР с применением статей 421, 431 Гражданского кодекса Российской Федерации, установили, что договоры заключены в целях использования ответчиком принадлежащего истцу имущества для осуществления предпринимательской деятельности, результат которой оплачивается истцом по цене, включающей затраты, в том числе на энергоснабжение. Вопросы толкования договоров и оценки обстоятельств их исполнения компетентно рассмотрены судами и не попадают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«СТМ-Сервис»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