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07.06.2021, оставленным без изменения постановлением Пятнадцатого арбитражного апелляционного суда от 27.07.2021, иск удовлетворен. Арбитражный суд Северо-Кавказского округа постановлением от 21.10.2021 решение от 07.06.2021 и постановление апелляционного суда от 27.07.2020 оставил без изменения. В кассационной жалобе предприниматель Ставицкий Н.П. просит об отмене судебных актов, ссылаясь на отсутствие у истца права ссылаться на недостатки работ при явном их характере в силу подписания заказ-наряда об их принятии и условий для взыскания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обстоятельства спора, признали понесенные истцом на восстановительный ремонт прицепа расходы подлежащими взысканию в качестве убытков в связи с ненадлежащим исполнением ответчиком предусмотренной договором от 24.05.2017 обязанности по восстановлению прицепа до состояния, пригодного для использования этой вещи по назначению. Цена прицепа и его износ не имеют отношения к расходам в связи с исполнением договора. Обстоятельства возникновения убытков и наличие условий, необходимых в силу статей 15 и 393 Гражданского кодекса Российской Федерации для их взыскания, установлены судами. Принятие работ не исключает возможности предъявления иска о взыскании убытков.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Ставицкому Н.П.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