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30.04.2021, оставленным без изменения постановлением Второго арбитражного апелляционного суда от 20.07.2021 и постановлением Арбитражного суда Волго-Вятского округа от 28.10.2021, в третью очередь реестра включены требования в размере 5 315 016 рублей и 6 035 624 рублей 44 копеек задолженности и 1 280 544 54 копеек процентов как обеспеченных залогом имущества должника. В кассационной жалобе Кушкова М.А.просит об отмене судебных актов, ссылаясь на отсутствие надлежащих доказательств предоставления ей денежных средств в заявленном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обоснованными заявленные требования как подтвержденные актами судов общей юрисдикции и соответствующие критериям статей 71, 100, 213.7, 213.8 Федерального закона от 26.10.2002 № 127-ФЗ «О несостоятельности (банкротстве)»,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Кушковой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