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19.04.2021, оставленным без изменения постановлением Четырнадцатого арбитражного апелляционного суда от 24.06.2021 и постановлением Арбитражного суда Северо-Западного округа от 28.09.2021, Карпову В.А. отказано в пересмотре определения от 10.06.2020. В кассационной жалобе Карпов В.А. просит об отмене судебных актов, ссылаясь в качестве оснований для пересмотра на сокрытие от него финансовым управляющим и кредитором приобретения должнику замещающей квартиры и позиции Конституционного Суда в отношении применения исполнительского иммунитета.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обстоятельства приобретения квартиры исследовались при принятии заявленного к пересмотру определения от 10.06.2020 и не могли быть неизвестны. Позиции Конституционного Суда подлежат учету при обжаловании судебных актов в апелляционном и кассационном порядке, которое в отношении определения от 10.06.2020 не инициировалось. При таких обстоятельствах суды отказали в пересмотре судебного акта в соответствии с частью 2 статьи 311 Арбитражного процессуального кодекса Российской Федерации для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Карпову Владимиру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