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24.02.2021, оставленным без изменения постановлением Семнадцатого арбитражного апелляционного суда от 24.05.2021 и постановлением Арбитражного суда Уральского округа от 26.10.2021, иск удовлетворен. В кассационной жалобе общество «Уренгойдорстрой» просит об отмене судебных актов, ссылаясь на неверный расчет штрафа.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и нарушение ответчиком обязательства, за которые она применяется, поэтому удовлетворили иск в соответствии с договором от 19.09.2019 № 166 НЛКА и статьями 309, 310, 329, 330 Гражданского кодекса Российской Федерации. Оспаривание расчета штрафа на стадии кассационного производства не создает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