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23.01.2018 завершена процедура реализации имущества гражданина, должник освобожден от исполнения требований кредиторов, за исключением требований, предусмотренных пунктом 5 статьи 213.28 Федерального закона от 26.10.2002 № 127-ФЗ «О несостоятельности (банкротстве)». Определением Пятнадцатого арбитражного апелляционного суда от 19.07.2021, оставленным без изменения постановлением Арбитражного суда Северо-Кавказского округа от 06.10.2021, производство по апелляционной жалобе, поданной Рапопорт И.М. с пропуском срока, прекращено применительно к пункту 1 части 1 статьи 150 Арбитражного процессуального кодекса Российской Федерации в связи с непризнанием уважительной причины его пропуска. В кассационной жалобе Рапопорт И.М. просит отменить судебные акты как незаконные. Кассационная жалоба в части обжалования определения Арбитражного суда Краснодарского края от 23.01.2018 подана с нарушением подсудности, 2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отношении определения от 19.07.2021 и постановления от 06.10.2021 в связи с доводами жалобы не усматривается. Ходатайство заявителя о восстановлении срока подачи апелляционной жалобы рассмотрено применительно к обозначенным причинам, и выводы судов об оценке таких причин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Рапопорт Ирине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