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Чувашия от 04.09.2020, оставленным без изменения постановлением Первого арбитражного апелляционного суда от 24.12.2020 и постановлением Арбитражного суда Волго-Вятского округа от 28.04.2021,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2 отменить указанные судебные акты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после прекращения между сторонами договорных отношений (01.09.2017) общество не исполнило обязательство по возврату объекта аренды и возвратило его центру только 05.04.2018, при этом доказательств внесения арендных платежей в спорный период не представило, руководствуясь статьями 309, 310, 329, 330, 450.1, 606, 614, 621, 622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«Казань-Шинторг»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