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31.03.2021, оставленным без изменения постановлением Восемнадцатого арбитражного апелляционного суда от 07.06.2021 и постановлением Арбитражного суда Уральского округа от 16.09.2021, в удовлетворении заявления отказано. В кассационной жалобе Самсонова И.А. просит об отмене судебных актов, ссылаясь на различную правовую природу пенсии по случаю потери кормильца и прожиточного минимума, не взаимоисключающих друг друга.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правомерно руководствовались соотношением интересов кредиторов должника и его иждивенцев, определяя право последних на достойное существование в ситуации наличия долгов исходя из размера, а не правовой природы выплат.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Самсоновой Ирине Альбертовне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