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16.04.2021, оставленным без изменения постановлением Семнадцатого арбитражного апелляционного суда от 20.07.2021 и постановлением Арбитражного суда Уральского округа от 05.10.2021, в удовлетворении иска отказано. В кассационной жалобе, поданной в Верховный Суд Российской Федерации, комбинат,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не установив оснований для привлечения ответчика к ответственности в виде взыскания неустойки (штрафа), руководствуясь статьями 309, 310, 329, 330, 431, 740, 748, 751 Гражданского кодекса Российской Федерации, суды первой и апелляционной инстанций отказали в удовлетворении иска, с чем впоследствии согласился суд округа. Выводы судов подробно мотивированы в обжалуемых судебных актах.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«ЕвроХим – Усольский калийный комбинат»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