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19.04.2021 в удовлетворении заявления финансового управляющего о признании договора займа от 18.01.2013 недействительным отказано; требование Мальцевой Т.Н. в размере 1 479 503 рублей 02 копеек включено в третью очередь реестра требований кредиторов должника, в признании данного требования общим обязательством должника и его бывшей супруги отказано. Семнадцатый арбитражный апелляционный суд постановлением от 21.07.2021, отменив определение от 19.04.2021 в части отказа в признании сделки недействительной, признал договор займа от 18.01.2012 недействительной сделкой; в остальной части определение оставил без изменения. Арбитражный суд Уральского округа постановлением от 25.10.2021 постановление апелляционного суда от 21.07.2021 оставил без изменения. 2 В кассационной жалобе Мальцева Т.Н. просит об отмене судебных актов апелляционного и окружного судов в части признания сделки недействительной и отказа в признании долга общим для супругов, ссылаясь на неправильную оценку обстоятельств совершения сделки 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Признание договора займа недействительным в силу статьи 170 Гражданского кодекса Российской Федерации предполагает заключение его без намерения на создание правовых последствий. В отсутствие передачи денежных средств основания для применения последствий недействительности сделки и установления расходования их на нужды семьи должника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Мальцевой Т.Н.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